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right="679"/>
        <w:rPr>
          <w:rFonts w:hint="eastAsia" w:ascii="仿宋_GB2312" w:hAnsi="仿宋_GB2312" w:eastAsia="仿宋_GB2312" w:cs="仿宋_GB2312"/>
          <w:bCs/>
          <w:kern w:val="36"/>
          <w:sz w:val="28"/>
          <w:szCs w:val="28"/>
        </w:rPr>
      </w:pPr>
      <w:r>
        <w:rPr>
          <w:rFonts w:hint="eastAsia" w:ascii="仿宋_GB2312" w:hAnsi="仿宋_GB2312" w:eastAsia="仿宋_GB2312" w:cs="仿宋_GB2312"/>
          <w:bCs/>
          <w:kern w:val="36"/>
          <w:sz w:val="28"/>
          <w:szCs w:val="28"/>
        </w:rPr>
        <w:t>附件3</w:t>
      </w:r>
    </w:p>
    <w:p>
      <w:pPr>
        <w:adjustRightInd w:val="0"/>
        <w:snapToGrid w:val="0"/>
        <w:spacing w:line="276" w:lineRule="auto"/>
        <w:jc w:val="center"/>
        <w:rPr>
          <w:rFonts w:hint="eastAsia" w:ascii="宋体" w:hAnsi="宋体" w:cs="宋体"/>
          <w:b/>
          <w:bCs/>
          <w:kern w:val="0"/>
          <w:sz w:val="36"/>
          <w:szCs w:val="36"/>
        </w:rPr>
      </w:pPr>
      <w:r>
        <w:rPr>
          <w:rFonts w:hint="eastAsia" w:ascii="宋体" w:hAnsi="宋体" w:cs="宋体"/>
          <w:b/>
          <w:bCs/>
          <w:kern w:val="0"/>
          <w:sz w:val="36"/>
          <w:szCs w:val="36"/>
        </w:rPr>
        <w:t>第24届广东省青少年科技辅导员论文征集活动</w:t>
      </w:r>
    </w:p>
    <w:p>
      <w:pPr>
        <w:adjustRightInd w:val="0"/>
        <w:snapToGrid w:val="0"/>
        <w:spacing w:line="276" w:lineRule="auto"/>
        <w:jc w:val="center"/>
        <w:rPr>
          <w:rFonts w:hint="eastAsia" w:ascii="宋体" w:hAnsi="宋体" w:cs="宋体"/>
          <w:b/>
          <w:bCs/>
          <w:kern w:val="0"/>
          <w:sz w:val="36"/>
          <w:szCs w:val="36"/>
        </w:rPr>
      </w:pPr>
      <w:r>
        <w:rPr>
          <w:rFonts w:hint="eastAsia" w:ascii="宋体" w:hAnsi="宋体" w:cs="宋体"/>
          <w:b/>
          <w:bCs/>
          <w:kern w:val="0"/>
          <w:sz w:val="36"/>
          <w:szCs w:val="36"/>
        </w:rPr>
        <w:t>论文要求和主题解读</w:t>
      </w:r>
    </w:p>
    <w:p>
      <w:pPr>
        <w:adjustRightInd w:val="0"/>
        <w:snapToGrid w:val="0"/>
        <w:spacing w:line="360" w:lineRule="auto"/>
        <w:rPr>
          <w:rFonts w:hint="eastAsia" w:ascii="仿宋" w:hAnsi="仿宋" w:eastAsia="仿宋"/>
          <w:sz w:val="32"/>
          <w:szCs w:val="32"/>
        </w:rPr>
      </w:pPr>
    </w:p>
    <w:p>
      <w:pPr>
        <w:adjustRightInd w:val="0"/>
        <w:snapToGrid w:val="0"/>
        <w:spacing w:line="360" w:lineRule="auto"/>
        <w:rPr>
          <w:rFonts w:hint="eastAsia" w:ascii="黑体" w:hAnsi="黑体" w:eastAsia="黑体"/>
          <w:b/>
          <w:sz w:val="28"/>
          <w:szCs w:val="28"/>
        </w:rPr>
      </w:pPr>
      <w:r>
        <w:rPr>
          <w:rFonts w:hint="eastAsia" w:ascii="黑体" w:hAnsi="黑体" w:eastAsia="黑体"/>
          <w:sz w:val="32"/>
          <w:szCs w:val="32"/>
        </w:rPr>
        <w:t xml:space="preserve">    </w:t>
      </w:r>
      <w:r>
        <w:rPr>
          <w:rFonts w:hint="eastAsia" w:ascii="黑体" w:hAnsi="黑体" w:eastAsia="黑体"/>
          <w:sz w:val="28"/>
          <w:szCs w:val="28"/>
        </w:rPr>
        <w:t>一、论文要求</w:t>
      </w:r>
    </w:p>
    <w:p>
      <w:pPr>
        <w:adjustRightInd w:val="0"/>
        <w:snapToGrid w:val="0"/>
        <w:spacing w:line="360" w:lineRule="auto"/>
        <w:ind w:firstLine="560" w:firstLineChars="200"/>
        <w:rPr>
          <w:rFonts w:hint="eastAsia" w:ascii="仿宋_GB2312" w:hAnsi="仿宋_GB2312" w:eastAsia="仿宋_GB2312" w:cs="仿宋_GB2312"/>
          <w:bCs/>
          <w:kern w:val="36"/>
          <w:sz w:val="28"/>
          <w:szCs w:val="28"/>
        </w:rPr>
      </w:pPr>
      <w:r>
        <w:rPr>
          <w:rFonts w:hint="eastAsia" w:ascii="仿宋_GB2312" w:hAnsi="仿宋_GB2312" w:eastAsia="仿宋_GB2312" w:cs="仿宋_GB2312"/>
          <w:bCs/>
          <w:kern w:val="36"/>
          <w:sz w:val="28"/>
          <w:szCs w:val="28"/>
        </w:rPr>
        <w:t>1.论文必须切合主题，论文采用的资料与数据要翔实可靠，原理与概念要清晰准确，论证要充分严谨，文字简明，通俗易懂，具有可操作性。</w:t>
      </w:r>
    </w:p>
    <w:p>
      <w:pPr>
        <w:adjustRightInd w:val="0"/>
        <w:snapToGrid w:val="0"/>
        <w:spacing w:line="360" w:lineRule="auto"/>
        <w:ind w:firstLine="560" w:firstLineChars="200"/>
        <w:rPr>
          <w:rFonts w:hint="eastAsia" w:ascii="仿宋_GB2312" w:hAnsi="仿宋_GB2312" w:eastAsia="仿宋_GB2312" w:cs="仿宋_GB2312"/>
          <w:bCs/>
          <w:kern w:val="36"/>
          <w:sz w:val="28"/>
          <w:szCs w:val="28"/>
        </w:rPr>
      </w:pPr>
      <w:r>
        <w:rPr>
          <w:rFonts w:hint="eastAsia" w:ascii="仿宋_GB2312" w:hAnsi="仿宋_GB2312" w:eastAsia="仿宋_GB2312" w:cs="仿宋_GB2312"/>
          <w:bCs/>
          <w:kern w:val="36"/>
          <w:sz w:val="28"/>
          <w:szCs w:val="28"/>
        </w:rPr>
        <w:t>2.论文的组成应包括标题、摘要（字数300～500字）、关键词（3～5个）、正文、参考文献、作者简介等。</w:t>
      </w:r>
    </w:p>
    <w:p>
      <w:pPr>
        <w:adjustRightInd w:val="0"/>
        <w:snapToGrid w:val="0"/>
        <w:spacing w:line="360" w:lineRule="auto"/>
        <w:ind w:firstLine="560" w:firstLineChars="200"/>
        <w:rPr>
          <w:rFonts w:hint="eastAsia" w:ascii="仿宋_GB2312" w:hAnsi="仿宋_GB2312" w:eastAsia="仿宋_GB2312" w:cs="仿宋_GB2312"/>
          <w:bCs/>
          <w:kern w:val="36"/>
          <w:sz w:val="28"/>
          <w:szCs w:val="28"/>
        </w:rPr>
      </w:pPr>
      <w:r>
        <w:rPr>
          <w:rFonts w:hint="eastAsia" w:ascii="仿宋_GB2312" w:hAnsi="仿宋_GB2312" w:eastAsia="仿宋_GB2312" w:cs="仿宋_GB2312"/>
          <w:bCs/>
          <w:kern w:val="36"/>
          <w:sz w:val="28"/>
          <w:szCs w:val="28"/>
        </w:rPr>
        <w:t>3.论文正文字数一般在3000～5000字。字数过少或过多都将影响论文最终评审等级。</w:t>
      </w:r>
    </w:p>
    <w:p>
      <w:pPr>
        <w:adjustRightInd w:val="0"/>
        <w:snapToGrid w:val="0"/>
        <w:spacing w:line="360" w:lineRule="auto"/>
        <w:ind w:firstLine="560" w:firstLineChars="200"/>
        <w:rPr>
          <w:rFonts w:hint="eastAsia" w:ascii="仿宋_GB2312" w:hAnsi="仿宋_GB2312" w:eastAsia="仿宋_GB2312" w:cs="仿宋_GB2312"/>
          <w:bCs/>
          <w:kern w:val="36"/>
          <w:sz w:val="28"/>
          <w:szCs w:val="28"/>
        </w:rPr>
      </w:pPr>
      <w:r>
        <w:rPr>
          <w:rFonts w:hint="eastAsia" w:ascii="仿宋_GB2312" w:hAnsi="仿宋_GB2312" w:eastAsia="仿宋_GB2312" w:cs="仿宋_GB2312"/>
          <w:bCs/>
          <w:kern w:val="36"/>
          <w:sz w:val="28"/>
          <w:szCs w:val="28"/>
        </w:rPr>
        <w:t>4.参考文献的著录规则请参照国家标准GB/T 7714-2005《文后参考文献著录规则》执行。</w:t>
      </w:r>
    </w:p>
    <w:p>
      <w:pPr>
        <w:adjustRightInd w:val="0"/>
        <w:snapToGrid w:val="0"/>
        <w:spacing w:line="360" w:lineRule="auto"/>
        <w:ind w:firstLine="560" w:firstLineChars="200"/>
        <w:rPr>
          <w:rFonts w:hint="eastAsia" w:ascii="仿宋_GB2312" w:hAnsi="仿宋_GB2312" w:eastAsia="仿宋_GB2312" w:cs="仿宋_GB2312"/>
          <w:bCs/>
          <w:kern w:val="36"/>
          <w:sz w:val="28"/>
          <w:szCs w:val="28"/>
        </w:rPr>
      </w:pPr>
      <w:r>
        <w:rPr>
          <w:rFonts w:hint="eastAsia" w:ascii="仿宋_GB2312" w:hAnsi="仿宋_GB2312" w:eastAsia="仿宋_GB2312" w:cs="仿宋_GB2312"/>
          <w:bCs/>
          <w:kern w:val="36"/>
          <w:sz w:val="28"/>
          <w:szCs w:val="28"/>
        </w:rPr>
        <w:t>5.缺少论文组成要素或不符合相关规则，将视情况降低论文获奖等级。　　　　</w:t>
      </w:r>
    </w:p>
    <w:p>
      <w:pPr>
        <w:adjustRightInd w:val="0"/>
        <w:snapToGrid w:val="0"/>
        <w:spacing w:line="360" w:lineRule="auto"/>
        <w:ind w:firstLine="560" w:firstLineChars="200"/>
        <w:rPr>
          <w:rFonts w:hint="eastAsia" w:ascii="仿宋_GB2312" w:hAnsi="仿宋_GB2312" w:eastAsia="仿宋_GB2312" w:cs="仿宋_GB2312"/>
          <w:bCs/>
          <w:kern w:val="36"/>
          <w:sz w:val="28"/>
          <w:szCs w:val="28"/>
        </w:rPr>
      </w:pPr>
      <w:r>
        <w:rPr>
          <w:rFonts w:hint="eastAsia" w:ascii="仿宋_GB2312" w:hAnsi="仿宋_GB2312" w:eastAsia="仿宋_GB2312" w:cs="仿宋_GB2312"/>
          <w:bCs/>
          <w:kern w:val="36"/>
          <w:sz w:val="28"/>
          <w:szCs w:val="28"/>
        </w:rPr>
        <w:t>6.论文作者必须认真、准确、逐项填写“论文登记表（附件1，没有论文登记表，不予评审。</w:t>
      </w:r>
    </w:p>
    <w:p>
      <w:pPr>
        <w:adjustRightInd w:val="0"/>
        <w:snapToGrid w:val="0"/>
        <w:spacing w:line="360" w:lineRule="auto"/>
        <w:ind w:firstLine="560" w:firstLineChars="200"/>
        <w:rPr>
          <w:rFonts w:hint="eastAsia" w:ascii="仿宋_GB2312" w:hAnsi="仿宋_GB2312" w:eastAsia="仿宋_GB2312" w:cs="仿宋_GB2312"/>
          <w:bCs/>
          <w:kern w:val="36"/>
          <w:sz w:val="28"/>
          <w:szCs w:val="28"/>
        </w:rPr>
      </w:pPr>
      <w:r>
        <w:rPr>
          <w:rFonts w:hint="eastAsia" w:ascii="仿宋_GB2312" w:hAnsi="仿宋_GB2312" w:eastAsia="仿宋_GB2312" w:cs="仿宋_GB2312"/>
          <w:bCs/>
          <w:kern w:val="36"/>
          <w:sz w:val="28"/>
          <w:szCs w:val="28"/>
        </w:rPr>
        <w:t>7.论文可以适当引用参考文献，但必须注明出处。连续引用不得超过200字；全文引用内容不得超过全文字数的五分之一。</w:t>
      </w:r>
    </w:p>
    <w:p>
      <w:pPr>
        <w:adjustRightInd w:val="0"/>
        <w:snapToGrid w:val="0"/>
        <w:spacing w:line="360" w:lineRule="auto"/>
        <w:ind w:firstLine="560" w:firstLineChars="200"/>
        <w:rPr>
          <w:rFonts w:hint="eastAsia" w:ascii="仿宋_GB2312" w:hAnsi="仿宋_GB2312" w:eastAsia="仿宋_GB2312" w:cs="仿宋_GB2312"/>
          <w:bCs/>
          <w:kern w:val="36"/>
          <w:sz w:val="28"/>
          <w:szCs w:val="28"/>
        </w:rPr>
      </w:pPr>
      <w:r>
        <w:rPr>
          <w:rFonts w:hint="eastAsia" w:ascii="仿宋_GB2312" w:hAnsi="仿宋_GB2312" w:eastAsia="仿宋_GB2312" w:cs="仿宋_GB2312"/>
          <w:bCs/>
          <w:kern w:val="36"/>
          <w:sz w:val="28"/>
          <w:szCs w:val="28"/>
        </w:rPr>
        <w:t>8.参加论文征集活动的作者文责自负，不得抄袭他人作品。</w:t>
      </w:r>
    </w:p>
    <w:p>
      <w:pPr>
        <w:adjustRightInd w:val="0"/>
        <w:snapToGrid w:val="0"/>
        <w:spacing w:line="360" w:lineRule="auto"/>
        <w:ind w:firstLine="560" w:firstLineChars="200"/>
        <w:rPr>
          <w:rFonts w:hint="eastAsia" w:ascii="仿宋_GB2312" w:hAnsi="仿宋_GB2312" w:eastAsia="仿宋_GB2312" w:cs="仿宋_GB2312"/>
          <w:bCs/>
          <w:kern w:val="36"/>
          <w:sz w:val="28"/>
          <w:szCs w:val="28"/>
        </w:rPr>
      </w:pPr>
      <w:r>
        <w:rPr>
          <w:rFonts w:hint="eastAsia" w:ascii="仿宋_GB2312" w:hAnsi="仿宋_GB2312" w:eastAsia="仿宋_GB2312" w:cs="仿宋_GB2312"/>
          <w:bCs/>
          <w:kern w:val="36"/>
          <w:sz w:val="28"/>
          <w:szCs w:val="28"/>
        </w:rPr>
        <w:t>9.科普短文、科技发明、科教制作和科技活动案例不在本次论文征集活动征集内容之列。</w:t>
      </w:r>
    </w:p>
    <w:p>
      <w:pPr>
        <w:adjustRightInd w:val="0"/>
        <w:snapToGrid w:val="0"/>
        <w:spacing w:line="360" w:lineRule="auto"/>
        <w:ind w:firstLine="560" w:firstLineChars="200"/>
        <w:rPr>
          <w:rFonts w:hint="eastAsia" w:ascii="黑体" w:hAnsi="黑体" w:eastAsia="黑体"/>
          <w:sz w:val="28"/>
          <w:szCs w:val="28"/>
        </w:rPr>
      </w:pPr>
      <w:r>
        <w:rPr>
          <w:rFonts w:hint="eastAsia" w:ascii="黑体" w:hAnsi="黑体" w:eastAsia="黑体"/>
          <w:sz w:val="28"/>
          <w:szCs w:val="28"/>
        </w:rPr>
        <w:t>二、论文主题解读</w:t>
      </w:r>
    </w:p>
    <w:p>
      <w:pPr>
        <w:spacing w:line="360" w:lineRule="auto"/>
        <w:ind w:firstLine="560" w:firstLineChars="200"/>
        <w:rPr>
          <w:rFonts w:hint="eastAsia" w:ascii="仿宋_GB2312" w:hAnsi="仿宋_GB2312" w:eastAsia="仿宋_GB2312" w:cs="仿宋_GB2312"/>
          <w:bCs/>
          <w:kern w:val="36"/>
          <w:sz w:val="28"/>
          <w:szCs w:val="28"/>
        </w:rPr>
      </w:pPr>
      <w:r>
        <w:rPr>
          <w:rFonts w:hint="eastAsia" w:ascii="仿宋_GB2312" w:hAnsi="仿宋_GB2312" w:eastAsia="仿宋_GB2312" w:cs="仿宋_GB2312"/>
          <w:bCs/>
          <w:kern w:val="36"/>
          <w:sz w:val="28"/>
          <w:szCs w:val="28"/>
        </w:rPr>
        <w:t>随着科学的不断发展和社会的日趋进步，作为基础教育阶段的科学教育，一些新的理念也在不断融入，并在广大科学教师和科技辅导员的实践探索中得到进一步完善，从而逐步汇聚成新时期造就广大青少年成为具有科学素质、人文素质和相关心理品质的未来公民之所需教育模式。</w:t>
      </w:r>
    </w:p>
    <w:p>
      <w:pPr>
        <w:spacing w:line="360" w:lineRule="auto"/>
        <w:ind w:firstLine="560" w:firstLineChars="200"/>
        <w:rPr>
          <w:rFonts w:hint="eastAsia" w:ascii="仿宋_GB2312" w:hAnsi="仿宋_GB2312" w:eastAsia="仿宋_GB2312" w:cs="仿宋_GB2312"/>
          <w:bCs/>
          <w:kern w:val="36"/>
          <w:sz w:val="28"/>
          <w:szCs w:val="28"/>
        </w:rPr>
      </w:pPr>
      <w:r>
        <w:rPr>
          <w:rFonts w:hint="eastAsia" w:ascii="仿宋_GB2312" w:hAnsi="仿宋_GB2312" w:eastAsia="仿宋_GB2312" w:cs="仿宋_GB2312"/>
          <w:bCs/>
          <w:kern w:val="36"/>
          <w:sz w:val="28"/>
          <w:szCs w:val="28"/>
        </w:rPr>
        <w:t>上述新的理念，主要包括诸如源自发达国家科学教育规划，把握青少年科学素养、技术素养、工程素养和数学素养整体培养的STEM教育模式；源自当前我国科技及经济发展中“大众创业、万众创新”的新趋势，以及国内外相继涌动的“创客风潮”，因此形成的基于科学教育基础上的创客教育模式；源自世界科技发展态势中创新速度最快、通用性最广、渗透力最强的信息技术，并通过将信息技术与科学教育紧密结合，而推出的创新青少年科学学习方式的科学教育信息化模式；以及其他相关科学教育新理念所形成的先进教育模式等。</w:t>
      </w:r>
    </w:p>
    <w:p>
      <w:pPr>
        <w:spacing w:line="360" w:lineRule="auto"/>
        <w:ind w:firstLine="560" w:firstLineChars="200"/>
        <w:rPr>
          <w:rFonts w:hint="eastAsia" w:ascii="仿宋_GB2312" w:hAnsi="仿宋_GB2312" w:eastAsia="仿宋_GB2312" w:cs="仿宋_GB2312"/>
          <w:bCs/>
          <w:kern w:val="36"/>
          <w:sz w:val="28"/>
          <w:szCs w:val="28"/>
        </w:rPr>
      </w:pPr>
      <w:r>
        <w:rPr>
          <w:rFonts w:hint="eastAsia" w:ascii="仿宋_GB2312" w:hAnsi="仿宋_GB2312" w:eastAsia="仿宋_GB2312" w:cs="仿宋_GB2312"/>
          <w:bCs/>
          <w:kern w:val="36"/>
          <w:sz w:val="28"/>
          <w:szCs w:val="28"/>
        </w:rPr>
        <w:t>实际上，我国广大科学教师和科技辅导员亦早已了解、学习和应用上述新理念，并以培养科技创新后备人才和广大高素质劳动者为己任，积极开展着多种多样的科学教育新理念的实践探索。就本次征文而言，无疑将是对上述实践探索成果的一次梳理、总结、升华和展示。</w:t>
      </w:r>
    </w:p>
    <w:p>
      <w:pPr>
        <w:spacing w:line="360" w:lineRule="auto"/>
        <w:ind w:firstLine="562" w:firstLineChars="200"/>
        <w:rPr>
          <w:rFonts w:hint="eastAsia" w:ascii="仿宋_GB2312" w:hAnsi="仿宋_GB2312" w:eastAsia="仿宋_GB2312" w:cs="仿宋_GB2312"/>
          <w:b/>
          <w:bCs/>
          <w:kern w:val="36"/>
          <w:sz w:val="28"/>
          <w:szCs w:val="28"/>
        </w:rPr>
      </w:pPr>
      <w:r>
        <w:rPr>
          <w:rFonts w:hint="eastAsia" w:ascii="仿宋_GB2312" w:hAnsi="仿宋_GB2312" w:eastAsia="仿宋_GB2312" w:cs="仿宋_GB2312"/>
          <w:b/>
          <w:bCs/>
          <w:kern w:val="36"/>
          <w:sz w:val="28"/>
          <w:szCs w:val="28"/>
        </w:rPr>
        <w:t>（一）STEM教育理念本土化的实践尝试</w:t>
      </w:r>
    </w:p>
    <w:p>
      <w:pPr>
        <w:spacing w:line="360" w:lineRule="auto"/>
        <w:ind w:firstLine="560" w:firstLineChars="200"/>
        <w:rPr>
          <w:rFonts w:hint="eastAsia" w:ascii="仿宋_GB2312" w:hAnsi="仿宋_GB2312" w:eastAsia="仿宋_GB2312" w:cs="仿宋_GB2312"/>
          <w:bCs/>
          <w:kern w:val="36"/>
          <w:sz w:val="28"/>
          <w:szCs w:val="28"/>
        </w:rPr>
      </w:pPr>
      <w:r>
        <w:rPr>
          <w:rFonts w:hint="eastAsia" w:ascii="仿宋_GB2312" w:hAnsi="仿宋_GB2312" w:eastAsia="仿宋_GB2312" w:cs="仿宋_GB2312"/>
          <w:bCs/>
          <w:kern w:val="36"/>
          <w:sz w:val="28"/>
          <w:szCs w:val="28"/>
        </w:rPr>
        <w:t>STEM代表自然科学（Science）、技术（Technology）、工程（Engineering）和数学（Mathematics），而STEM教育就是自然科学、技术、工程、数学等相关专业领域的教育。鉴于美国高中毕业生报考大学自然科学、技术、工程、数学等相关专业的比率很小，为了提升国家竞争力，美国政府长期以来都在推行一项鼓励高中毕业生主修大学自然科学、技术、工程和数学等相关专业领域的计划——STEM教育计划，并不断加大高等院校自然科学、技术、工程和数学教育的投入，以获得更多具有STEM学位的未来人才——这是衡量国家科技和经济实力是否增长的重要指标之一。</w:t>
      </w:r>
    </w:p>
    <w:p>
      <w:pPr>
        <w:spacing w:line="360" w:lineRule="auto"/>
        <w:ind w:firstLine="560" w:firstLineChars="200"/>
        <w:rPr>
          <w:rFonts w:hint="eastAsia" w:ascii="仿宋_GB2312" w:hAnsi="仿宋_GB2312" w:eastAsia="仿宋_GB2312" w:cs="仿宋_GB2312"/>
          <w:bCs/>
          <w:kern w:val="36"/>
          <w:sz w:val="28"/>
          <w:szCs w:val="28"/>
        </w:rPr>
      </w:pPr>
      <w:r>
        <w:rPr>
          <w:rFonts w:hint="eastAsia" w:ascii="仿宋_GB2312" w:hAnsi="仿宋_GB2312" w:eastAsia="仿宋_GB2312" w:cs="仿宋_GB2312"/>
          <w:bCs/>
          <w:kern w:val="36"/>
          <w:sz w:val="28"/>
          <w:szCs w:val="28"/>
        </w:rPr>
        <w:t>值得注意的是，近几年来，原本面向高等院校的STEM教育计划开始向中小学延伸，自然科学、技术、工程、数学等相关专业教育也从大学生向中小学生迁移。2014年，美国政府提出的STEM国家人才培育策略，专门针对中小学STEM教育提出实现各州STEM创新网络合作、培训优秀STEM教师、建立STEM专家教师团、资助STEM重点学校和增加STEM科研投入等具体的规划，受到世界的广泛关注。</w:t>
      </w:r>
    </w:p>
    <w:p>
      <w:pPr>
        <w:spacing w:line="360" w:lineRule="auto"/>
        <w:ind w:firstLine="560" w:firstLineChars="200"/>
        <w:rPr>
          <w:rFonts w:hint="eastAsia" w:ascii="仿宋_GB2312" w:hAnsi="仿宋_GB2312" w:eastAsia="仿宋_GB2312" w:cs="仿宋_GB2312"/>
          <w:bCs/>
          <w:kern w:val="36"/>
          <w:sz w:val="28"/>
          <w:szCs w:val="28"/>
        </w:rPr>
      </w:pPr>
      <w:r>
        <w:rPr>
          <w:rFonts w:hint="eastAsia" w:ascii="仿宋_GB2312" w:hAnsi="仿宋_GB2312" w:eastAsia="仿宋_GB2312" w:cs="仿宋_GB2312"/>
          <w:bCs/>
          <w:kern w:val="36"/>
          <w:sz w:val="28"/>
          <w:szCs w:val="28"/>
        </w:rPr>
        <w:t>实际上，从广义的科学来看，自然科学、技术、工程、数学都应包含在内。在中小学推行STEM教育模式，绝不是自然科学、技术、工程和数学等学科的简单叠加，而是在“大科学”的框架下强调多学科的交叉融合，强调对青少年科学素养、技术素养、工程素养和数学素养的早期综合培养，以更好地为高等院校输送具有创新精神和实践能力的STEM后备人才。</w:t>
      </w:r>
    </w:p>
    <w:p>
      <w:pPr>
        <w:spacing w:line="360" w:lineRule="auto"/>
        <w:ind w:firstLine="560" w:firstLineChars="200"/>
        <w:rPr>
          <w:rFonts w:hint="eastAsia" w:ascii="仿宋_GB2312" w:hAnsi="仿宋_GB2312" w:eastAsia="仿宋_GB2312" w:cs="仿宋_GB2312"/>
          <w:bCs/>
          <w:kern w:val="36"/>
          <w:sz w:val="28"/>
          <w:szCs w:val="28"/>
        </w:rPr>
      </w:pPr>
      <w:r>
        <w:rPr>
          <w:rFonts w:hint="eastAsia" w:ascii="仿宋_GB2312" w:hAnsi="仿宋_GB2312" w:eastAsia="仿宋_GB2312" w:cs="仿宋_GB2312"/>
          <w:bCs/>
          <w:kern w:val="36"/>
          <w:sz w:val="28"/>
          <w:szCs w:val="28"/>
        </w:rPr>
        <w:t>上述新的教育理念，已引起我国许多专家学者和中小学教师的关注，并开始结合国情和区域特色，尝试将其本土化。一些科学教师和科技辅导员应用STEM教育模式，把握科学素养、技术素养、工程素养和数学素养的整体培养，已在学校科学课程或校本课程教学、课外或校外科技活动开展，以及青少年科技竞赛组织等方面先行实践探索，并取得了良好的效果。</w:t>
      </w:r>
    </w:p>
    <w:p>
      <w:pPr>
        <w:spacing w:line="360" w:lineRule="auto"/>
        <w:ind w:firstLine="562" w:firstLineChars="200"/>
        <w:rPr>
          <w:rFonts w:hint="eastAsia" w:ascii="仿宋_GB2312" w:hAnsi="仿宋_GB2312" w:eastAsia="仿宋_GB2312" w:cs="仿宋_GB2312"/>
          <w:b/>
          <w:bCs/>
          <w:kern w:val="36"/>
          <w:sz w:val="28"/>
          <w:szCs w:val="28"/>
        </w:rPr>
      </w:pPr>
      <w:r>
        <w:rPr>
          <w:rFonts w:hint="eastAsia" w:ascii="仿宋_GB2312" w:hAnsi="仿宋_GB2312" w:eastAsia="仿宋_GB2312" w:cs="仿宋_GB2312"/>
          <w:b/>
          <w:bCs/>
          <w:kern w:val="36"/>
          <w:sz w:val="28"/>
          <w:szCs w:val="28"/>
        </w:rPr>
        <w:t>（二）创客风潮助力科学教育的新探索</w:t>
      </w:r>
    </w:p>
    <w:p>
      <w:pPr>
        <w:spacing w:line="360" w:lineRule="auto"/>
        <w:ind w:firstLine="560" w:firstLineChars="200"/>
        <w:rPr>
          <w:rFonts w:hint="eastAsia" w:ascii="仿宋_GB2312" w:hAnsi="仿宋_GB2312" w:eastAsia="仿宋_GB2312" w:cs="仿宋_GB2312"/>
          <w:bCs/>
          <w:kern w:val="36"/>
          <w:sz w:val="28"/>
          <w:szCs w:val="28"/>
        </w:rPr>
      </w:pPr>
      <w:r>
        <w:rPr>
          <w:rFonts w:hint="eastAsia" w:ascii="仿宋_GB2312" w:hAnsi="仿宋_GB2312" w:eastAsia="仿宋_GB2312" w:cs="仿宋_GB2312"/>
          <w:bCs/>
          <w:kern w:val="36"/>
          <w:sz w:val="28"/>
          <w:szCs w:val="28"/>
        </w:rPr>
        <w:t>2015年“两会”上，李克强总理在政府工作报告中指出要把“大众创业、万众创新”打造成推动中国经济继续前行的“双引擎”之一。究其原因，主要是在资源和环境压力加大、传统增长动力不足的情况下，我国唯有加快经济转型，特别是进一步兴起大众创业、万众创新热潮，才能为建设创新型国家筑牢基石，为经济发展增添持久动力。目前，作为全国科技创新中心的北京已形成亚洲规模最大的创客空间，其与上海、深圳等中华大地涌动的创客风潮，加速推开了互联网与制造业融合发展的新工业革命大门，引领大众创业、万众创新时代的到来。</w:t>
      </w:r>
    </w:p>
    <w:p>
      <w:pPr>
        <w:spacing w:line="360" w:lineRule="auto"/>
        <w:ind w:firstLine="560" w:firstLineChars="200"/>
        <w:rPr>
          <w:rFonts w:hint="eastAsia" w:ascii="仿宋_GB2312" w:hAnsi="仿宋_GB2312" w:eastAsia="仿宋_GB2312" w:cs="仿宋_GB2312"/>
          <w:bCs/>
          <w:kern w:val="36"/>
          <w:sz w:val="28"/>
          <w:szCs w:val="28"/>
        </w:rPr>
      </w:pPr>
      <w:r>
        <w:rPr>
          <w:rFonts w:hint="eastAsia" w:ascii="仿宋_GB2312" w:hAnsi="仿宋_GB2312" w:eastAsia="仿宋_GB2312" w:cs="仿宋_GB2312"/>
          <w:bCs/>
          <w:kern w:val="36"/>
          <w:sz w:val="28"/>
          <w:szCs w:val="28"/>
        </w:rPr>
        <w:t>实际上，创客一词来自英语“maker”，原意是“制造者”。现在是指出自兴趣与爱好，并基于3D打印技术、Arduino等开源硬件，努力把各种创意转变为现实的人。正是由于我国当前科技和经济发展的需求，才使得源于欧美的创客活动不仅风靡全国，并已进入许多大中小学校园，吸引着广大青少年的参与。</w:t>
      </w:r>
    </w:p>
    <w:p>
      <w:pPr>
        <w:spacing w:line="360" w:lineRule="auto"/>
        <w:ind w:firstLine="560" w:firstLineChars="200"/>
        <w:rPr>
          <w:rFonts w:hint="eastAsia" w:ascii="仿宋_GB2312" w:hAnsi="仿宋_GB2312" w:eastAsia="仿宋_GB2312" w:cs="仿宋_GB2312"/>
          <w:bCs/>
          <w:kern w:val="36"/>
          <w:sz w:val="28"/>
          <w:szCs w:val="28"/>
        </w:rPr>
      </w:pPr>
      <w:r>
        <w:rPr>
          <w:rFonts w:hint="eastAsia" w:ascii="仿宋_GB2312" w:hAnsi="仿宋_GB2312" w:eastAsia="仿宋_GB2312" w:cs="仿宋_GB2312"/>
          <w:bCs/>
          <w:kern w:val="36"/>
          <w:sz w:val="28"/>
          <w:szCs w:val="28"/>
        </w:rPr>
        <w:t>结合上述国情，各地科技、教育和科协等相关部门，相继举办了区域性“科学、技术和文化创意博览会”或“创客节”等体现新理念的大型科学教育、传播与普及活动，诸如儿童科学幻想画汇、公众小发明擂台、文化创意产品展、青少年科技创意竞赛、创客论坛等多种形式荟萃，吸引区域内公众和青少年广泛参与。</w:t>
      </w:r>
    </w:p>
    <w:p>
      <w:pPr>
        <w:spacing w:line="360" w:lineRule="auto"/>
        <w:ind w:firstLine="560" w:firstLineChars="200"/>
        <w:rPr>
          <w:rFonts w:ascii="仿宋_GB2312" w:hAnsi="仿宋_GB2312" w:eastAsia="仿宋_GB2312" w:cs="仿宋_GB2312"/>
          <w:bCs/>
          <w:kern w:val="36"/>
          <w:sz w:val="28"/>
          <w:szCs w:val="28"/>
        </w:rPr>
      </w:pPr>
      <w:r>
        <w:rPr>
          <w:rFonts w:hint="eastAsia" w:ascii="仿宋_GB2312" w:hAnsi="仿宋_GB2312" w:eastAsia="仿宋_GB2312" w:cs="仿宋_GB2312"/>
          <w:bCs/>
          <w:kern w:val="36"/>
          <w:sz w:val="28"/>
          <w:szCs w:val="28"/>
        </w:rPr>
        <w:t>许多科学教师和科技辅导员也从中挖掘新思路，通过设计新颖的科学教育课程或活动：如基于Arduino开源电子原型平台的小创客培训课程或活动；让想象变为现实的Sketchup 3D制图和3D打印技术探索课程或活动；通过动手拼搭电子电路进行学习与实践的电子百拼科技竞赛活动；等等。这些独具特色的科学教育实践探索课程或活动通过传播创新文化，普及科学知识、方法和创新技能，为培养小创客打下了良好的基础。</w:t>
      </w:r>
    </w:p>
    <w:p>
      <w:pPr>
        <w:spacing w:line="360" w:lineRule="auto"/>
        <w:ind w:firstLine="562" w:firstLineChars="200"/>
        <w:rPr>
          <w:rFonts w:hint="eastAsia" w:ascii="仿宋_GB2312" w:hAnsi="仿宋_GB2312" w:eastAsia="仿宋_GB2312" w:cs="仿宋_GB2312"/>
          <w:b/>
          <w:bCs/>
          <w:kern w:val="36"/>
          <w:sz w:val="28"/>
          <w:szCs w:val="28"/>
        </w:rPr>
      </w:pPr>
      <w:r>
        <w:rPr>
          <w:rFonts w:hint="eastAsia" w:ascii="仿宋_GB2312" w:hAnsi="仿宋_GB2312" w:eastAsia="仿宋_GB2312" w:cs="仿宋_GB2312"/>
          <w:b/>
          <w:bCs/>
          <w:kern w:val="36"/>
          <w:sz w:val="28"/>
          <w:szCs w:val="28"/>
        </w:rPr>
        <w:t>（三）科学教育信息化之路的融合创新</w:t>
      </w:r>
    </w:p>
    <w:p>
      <w:pPr>
        <w:spacing w:line="360" w:lineRule="auto"/>
        <w:ind w:firstLine="560" w:firstLineChars="200"/>
        <w:rPr>
          <w:rFonts w:hint="eastAsia" w:ascii="仿宋_GB2312" w:hAnsi="仿宋_GB2312" w:eastAsia="仿宋_GB2312" w:cs="仿宋_GB2312"/>
          <w:bCs/>
          <w:kern w:val="36"/>
          <w:sz w:val="28"/>
          <w:szCs w:val="28"/>
        </w:rPr>
      </w:pPr>
      <w:r>
        <w:rPr>
          <w:rFonts w:hint="eastAsia" w:ascii="仿宋_GB2312" w:hAnsi="仿宋_GB2312" w:eastAsia="仿宋_GB2312" w:cs="仿宋_GB2312"/>
          <w:bCs/>
          <w:kern w:val="36"/>
          <w:sz w:val="28"/>
          <w:szCs w:val="28"/>
        </w:rPr>
        <w:t>当今世界已进入信息时代，信息技术成为了创新速度最快、通用性最广、渗透力最强的高技术之一，它也必然全面渗透并深刻影响到科学教育的理念、模式和走向。如果广大科学教师和科技辅导员能够尝试将信息技术的应用与科学教育的变革紧密结合，就可以通过自身实践跟上新的思潮，促进科学教育的信息化之路在科学课教学、课外科学活动和青少年科技竞赛等方面不断取得突破，并结出丰硕成果。</w:t>
      </w:r>
    </w:p>
    <w:p>
      <w:pPr>
        <w:spacing w:line="360" w:lineRule="auto"/>
        <w:ind w:firstLine="560" w:firstLineChars="200"/>
        <w:rPr>
          <w:rFonts w:hint="eastAsia" w:ascii="仿宋_GB2312" w:hAnsi="仿宋_GB2312" w:eastAsia="仿宋_GB2312" w:cs="仿宋_GB2312"/>
          <w:bCs/>
          <w:kern w:val="36"/>
          <w:sz w:val="28"/>
          <w:szCs w:val="28"/>
        </w:rPr>
      </w:pPr>
      <w:r>
        <w:rPr>
          <w:rFonts w:hint="eastAsia" w:ascii="仿宋_GB2312" w:hAnsi="仿宋_GB2312" w:eastAsia="仿宋_GB2312" w:cs="仿宋_GB2312"/>
          <w:bCs/>
          <w:kern w:val="36"/>
          <w:sz w:val="28"/>
          <w:szCs w:val="28"/>
        </w:rPr>
        <w:t>例如，借助先进的信息技术和网络平台出现的慕课和微课，则可以使大规模并且个性化的科学学习活动成为可能，让全球各国或国内东部和西部地区不同人群共享优质科学教育资源成为现实。而大数据应用、3D技术、微信平台等相关信息技术在科学教育中的应用，可使更多的青少年在认知科学上受益匪浅。</w:t>
      </w:r>
    </w:p>
    <w:p>
      <w:pPr>
        <w:spacing w:line="360" w:lineRule="auto"/>
        <w:ind w:firstLine="560" w:firstLineChars="200"/>
        <w:rPr>
          <w:rFonts w:hint="eastAsia" w:ascii="仿宋_GB2312" w:hAnsi="仿宋_GB2312" w:eastAsia="仿宋_GB2312" w:cs="仿宋_GB2312"/>
          <w:bCs/>
          <w:kern w:val="36"/>
          <w:sz w:val="28"/>
          <w:szCs w:val="28"/>
        </w:rPr>
      </w:pPr>
      <w:r>
        <w:rPr>
          <w:rFonts w:hint="eastAsia" w:ascii="仿宋_GB2312" w:hAnsi="仿宋_GB2312" w:eastAsia="仿宋_GB2312" w:cs="仿宋_GB2312"/>
          <w:bCs/>
          <w:kern w:val="36"/>
          <w:sz w:val="28"/>
          <w:szCs w:val="28"/>
        </w:rPr>
        <w:t>正是在科学教育的信息化之路发展趋势影响下，我国一些大城市的科技教育机构，利用国外同类机构的优质科学教育资源，开始以慕课的形式，让中小学青少年体验国外优秀科学教师采用讲授型、演示型和实验型等多种教学模式进行的互动式科学传播活动，充分调动了他们学习的自主性。而我国北京、上海、浙江、福建等一些学校和校外机构的科学教师和科技辅导员，也尝试利用校外科技活动资源形态的碎片化、微型化、主题化，逐渐开发出以微视频为主要载体的微课，让中小学青少年体验到新的学习科学的模式。这些实践探索丰富多彩且意义深刻，正引领更多的科学教师和科技辅导员在科学教育的信息化之路上开拓前进。</w:t>
      </w:r>
    </w:p>
    <w:p>
      <w:pPr>
        <w:spacing w:line="360" w:lineRule="auto"/>
        <w:ind w:firstLine="560" w:firstLineChars="200"/>
        <w:rPr>
          <w:rFonts w:hint="eastAsia" w:ascii="仿宋_GB2312" w:hAnsi="仿宋_GB2312" w:eastAsia="仿宋_GB2312" w:cs="仿宋_GB2312"/>
          <w:bCs/>
          <w:kern w:val="36"/>
          <w:sz w:val="28"/>
          <w:szCs w:val="28"/>
        </w:rPr>
      </w:pPr>
      <w:r>
        <w:rPr>
          <w:rFonts w:hint="eastAsia" w:ascii="仿宋_GB2312" w:hAnsi="仿宋_GB2312" w:eastAsia="仿宋_GB2312" w:cs="仿宋_GB2312"/>
          <w:bCs/>
          <w:kern w:val="36"/>
          <w:sz w:val="28"/>
          <w:szCs w:val="28"/>
        </w:rPr>
        <w:t>我们希望，广大科学教师和科技辅导员，能够依托近两年自己参与上述科学教育新理念的实践探索，依托相关理论深入论述，精选贴切案例以佐证，最终梳理和总结出促进科学教育创新发展，有益于青少年提升科学素质的新模式、新体验和新规律。</w:t>
      </w:r>
    </w:p>
    <w:p>
      <w:pPr>
        <w:spacing w:line="360" w:lineRule="auto"/>
        <w:ind w:firstLine="560" w:firstLineChars="200"/>
        <w:rPr>
          <w:rFonts w:hint="eastAsia" w:ascii="楷体" w:hAnsi="楷体" w:eastAsia="楷体"/>
          <w:sz w:val="28"/>
          <w:szCs w:val="28"/>
        </w:rPr>
      </w:pPr>
      <w:r>
        <w:rPr>
          <w:rFonts w:hint="eastAsia" w:ascii="楷体" w:hAnsi="楷体" w:eastAsia="楷体"/>
          <w:sz w:val="28"/>
          <w:szCs w:val="28"/>
        </w:rPr>
        <w:t>——翟立原，中国科普研究所研究员，中国青少年科技辅导员协会理论工作委员会副主任委员，第24届全国青少年科技辅导员论文征集活动评审委员会主任委员</w:t>
      </w:r>
    </w:p>
    <w:p>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roman"/>
    <w:pitch w:val="default"/>
    <w:sig w:usb0="00000001" w:usb1="080E0000" w:usb2="00000000" w:usb3="00000000" w:csb0="00040000" w:csb1="00000000"/>
  </w:font>
  <w:font w:name="黑体">
    <w:panose1 w:val="02010600030101010101"/>
    <w:charset w:val="86"/>
    <w:family w:val="modern"/>
    <w:pitch w:val="default"/>
    <w:sig w:usb0="00000001" w:usb1="080E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00007A87" w:usb1="80000000" w:usb2="00000008" w:usb3="00000000" w:csb0="400001FF" w:csb1="FFFF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A96871"/>
    <w:rsid w:val="53A9687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Office_10.1.0.5559_F1E327BC-269C-435d-A152-05C5408002CA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2016-04-12T09:22:00Z</dcterms:created>
  <dc:creator>Administrator</dc:creator>
  <cp:lastModifiedBy>Administrator</cp:lastModifiedBy>
  <dcterms:modified xsi:type="dcterms:W3CDTF">2016-04-12T09:22:49Z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